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49</w:t>
      </w:r>
    </w:p>
    <w:p>
      <w:r>
        <w:t>Bundesgericht (BGE), 1998-01-01, FR</w:t>
      </w:r>
    </w:p>
    <w:p>
      <w:r>
        <w:rPr>
          <w:b/>
        </w:rPr>
        <w:t xml:space="preserve">Quelle: </w:t>
      </w:r>
      <w:r>
        <w:t>https://mcp.opencaselaw.ch/entscheid/bge_124 I 49</w:t>
      </w:r>
    </w:p>
    <w:p>
      <w:r>
        <w:t>FR: ATF 124 I 49</w:t>
      </w:r>
    </w:p>
    <w:p>
      <w:r>
        <w:t>IT: DTF 124 I 49</w:t>
      </w:r>
    </w:p>
    <w:p>
      <w:pPr>
        <w:pStyle w:val="Heading2"/>
      </w:pPr>
      <w:r>
        <w:t>Regeste</w:t>
      </w:r>
    </w:p>
    <w:p>
      <w:r>
        <w:t>Regeste Feststellung des ausländischen Rechts; Anspruch auf rechtliches Gehör (Art. 4 BV, Art. 16 IPRG). Dem Richter zur Verfügung stehende Mittel für die Feststellung des Inhalts des ausländischen Rechts (E. 3b). Tragweite des rechtlichen Gehörs der Parteien hinsichtlich des Ergebnisses der Nachforschungen des Richters (E. 3c und d).</w:t>
      </w:r>
    </w:p>
    <w:p>
      <w:pPr>
        <w:pStyle w:val="Heading2"/>
      </w:pPr>
      <w:r>
        <w:t>Erwägungen</w:t>
      </w:r>
    </w:p>
    <w:p>
      <w:r>
        <w:rPr>
          <w:b/>
        </w:rPr>
        <w:t>E. 1</w:t>
      </w:r>
    </w:p>
    <w:p>
      <w:r>
        <w:t>A l'appui de son recours de droit public, le défendeur invoque une appréciation manifestement insoutenable des faits du dossier, ainsi qu'une application arbitraire du droit saoudien. Il allègue également une violation du droit d'être entendu, déduit de l' art. 4 Cst. En raison de la nature formelle du droit d'être entendu, il se justifie d'examiner en premier lieu le moyen pris de la violation de ce droit. BGE 124 I 49 S. 51</w:t>
      </w:r>
    </w:p>
    <w:p>
      <w:r>
        <w:rPr>
          <w:b/>
        </w:rPr>
        <w:t>E. 2</w:t>
      </w:r>
    </w:p>
    <w:p>
      <w:r>
        <w:t>Le recourant relève que l'auteur de l'avis de droit de l'ISDC, sur lequel la cour cantonale a fondé sa décision d'interprétation du droit saoudien, s'est totalement écarté des avis de droit produits par les parties et émanant d'avocats et de magistrats saoudiens expérimentés. Il fait valoir que, même s'il appartient au juge d'établir d'office le contenu du droit étranger, il convient que le droit d'être entendu des parties soit respecté à l'occasion de cette recherche, ce qui signifie que les parties doivent être en mesure de se prononcer tant sur les éléments de preuve fournis par leur adversaire que sur ceux recueillis d'office par le juge. Dès lors, en ne donnant pas connaissance de l'avis de droit de l'ISDC aux parties et en leur refusant la possibilité de se prononcer à son sujet, la Cour de justice aurait violé, en l'espèce, le droit d'être entendu du recourant, garanti par l' art. 4 Cst. Cette violation serait d'autant plus choquante qu'elle est intervenue au stade de l'appel et que l'application erronée du droit étranger par la cour cantonale ne peut pas faire l'objet d'un recours en réforme.</w:t>
      </w:r>
    </w:p>
    <w:p>
      <w:r>
        <w:rPr>
          <w:b/>
        </w:rPr>
        <w:t>E. 3</w:t>
      </w:r>
    </w:p>
    <w:p>
      <w:r>
        <w:t>a) La portée du droit d'être entendu est déterminée en premier lieu par le droit cantonal, dont le Tribunal fédéral examine l'application sous l'angle restreint de l'arbitraire. Dans les cas où la protection que ce droit accorde aux parties apparaît insuffisante, l'intéressé peut invoquer celle découlant directement de l' art. 4 Cst. , qui constitue ainsi une garantie subsidiaire et minimale. Le Tribunal fédéral examine librement si les exigences posées par cette disposition constitutionnelle ont été respectées ( ATF 122 I 153 consid. 3 p. 158 et les arrêts cités). En l'espèce, le recourant n'invoque pas la violation de normes du droit cantonal. C'est donc à la lumière de l' art. 4 Cst. qu'il faut examiner le mérite de son grief.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En effet, le droit d'être entendu est à la fois une institution servant à l'instruction de la cause et une faculté de la partie, en rapport avec sa personne, de participer au prononcé de décisions qui lèsent sa situation juridique ( ATF 122 I 53 consid. 4a, 109 consid. 2a; ATF 114 Ia 97 consid. 2a et les arrêts cités). b) Selon l' art. 16 LDIP , le contenu du droit étranger est établi d'office. A cet effet, la collaboration des parties peut être requise. En matière patrimoniale, la preuve peut être mise à la charge des parties. BGE 124 I 49 S. 52 Si le juge veut appliquer le droit étranger et ne se satisfait pas des éléments que lui fournissent les parties, il met en oeuvre les moyens d'investigation qui sont à sa disposition. Lorsque les textes légaux, commentaires, recueils de jurisprudence, revues et autres ouvrages de doctrine disponibles ne fournissent que des indications insuffisantes, il peut s'adresser aux experts du for. Ceux-ci peuvent revêtir un caractère officiel, comme l'Institut suisse de droit comparé, à Lausanne (cf. RS 425.1), ou l'Office fédéral de la justice, à Berne. Le juge peut aussi recueillir des renseignements d'instituts étrangers ou auprès de personnes privées (professeurs de droit, par exemple) et d'experts étrangers, ainsi que le prévoit la Convention européenne dans le domaine de l'information sur le droit étranger (RS 0.274.161). Il peut également solliciter des renseignements auprès des services diplomatiques suisses ou étrangers (cf., parmi d'autres: KNOEPFLER/SCHWEIZER, Droit international privé suisse, 2e éd., n. 569 ss; VON OVERBECK, Die Ermittlung, Anwendung und Überprüfung der richtigen Anwendung des anwendbaren Rechts, in: Die allgemeinen Bestimmungen des Bundesgesetzes über das internationale Privatrecht, Saint-Gall 1988, p. 105 ss; KELLER/GIRSBERGER, in: IPRG Kommentar, n. 53-58 ad art. 16; FRANK/STRÄULI/MESSMER, Kommentar zur zürcherischen Zivilprozessordnung, n. 27 ad § 57). c) Sur le plan de la procédure, à Genève notamment, les avis de droit destinés à établir le contenu d'un droit étranger ne sont pas assimilés à des rapports d'experts, car le contenu de ce droit ne relève pas du fait (BERTOSSA/GAILLARD/GUYET, Commentaire de la loi de procédure civile genevoise, n. 3 in fine ad art. 255). Cela n'implique pas forcément que les parties ne puissent pas en prendre connaissance et se déterminer à leur propos comme à l'égard des preuves proprement dites. Le droit d'être entendu confère en effet aux parties le droit de s'exprimer sur tous les points importants avant qu'une décision soit prise; si cette règle s'applique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 ATF 114 Ia 97 consid. 2a; cf. G. MÜLLER, in: Commentaire de la Constitution fédérale, n. 105 ad art. 4). A propos de la preuve du droit étranger, le Tribunal fédéral a posé, en se référant à la doctrine, qu'il ne s'agit pas là d'une preuve au sens strict du terme ("dabei geht es um den Nachweis, nicht um einen BGE 124 I 49 S. 53 Beweis im eigentlichen Sinn"), de sorte que les règles ordinaires en la matière ne sont pas applicables. Mais il a immédiatement précisé que le droit d'être entendu doit cependant être respecté afin d'éviter que l'une des parties ne soit prise au dépourvu par l'application du droit étranger ( ATF 119 II 93 consid. 2c/bb; voir aussi: VON OVERBECK, op.cit., p. 101 et 104; KELLER/GIRSBERGER, op.cit., n. 37 et 47 ad art. 16; MESSMER/IMBODEN, Die eidgenössischen Rechtsmittel in Zivilsachen, n. 72, p. 110; MÄCHLER-ERNE, in: Kommentar zum Schweizerischen Privatrecht, Internationales Privatrecht, Bâle 1996, n. 10 ad art. 16). Cette exigence du respect du droit des parties d'être entendues ne vise pas que la seule décision de principe au sujet de l'application d'un droit étranger donné, mais également le droit des parties d'être renseignées et de prendre position sur le contenu du droit étranger, tel qu'il résulte des preuves fournies par elles ou des avis de droit requis par le juge auprès d'instituts, d'autorités ou de tiers spécialisés. Les parties doivent en effet pouvoir prendre connaissance du résultat des recherches du juge, se déterminer à cet égard et se prémunir ainsi contre toute inexactitude (I. SCHWANDER, Einführung in das internationale Privatrecht, Allg. Teil., n. 393, p. 192; voir aussi: A. SCHNYDER, Die Anwendung des zuständigen fremden Sachrechts im Internationalen Privatrecht, thèse Zurich 1981, p. 106/107). Ainsi que le relèvent avec pertinence KNOEPFLER et SCHWEIZER (op.cit., n. 559), il n'y a rien d'incohérent à considérer la norme étrangère comme une règle de droit tout en assimilant la recherche de son contenu à l'élucidation d'un point de fait. Le principe jura novit curia ne s'y oppose pas, car la règle étrangère n'appartient pas au système dont les normes doivent être connues, appliquées et concrétisées par les autorités chargées d'en assurer le fonctionnement (cf. également: P. VOLKEN, Die internationale Rechtshilfe in Zivilsachen, p. 139/140). d) Un arrêt publié de la Cour de cassation de Zurich (ZR 95/1996 n. 2, p. 7 ss), cité par DUTOIT (Commentaire de la loi fédérale du 18 décembre 1987, 2e éd., n. 5 in fine ad art. 16) et par FRANK/STRÄULI/MESSMER (op.cit., n. 19 ad § 57), pose toutefois le principe selon lequel l' art. 16 LDIP ne ferait pas obligation au juge de donner aux parties la possibilité de prendre position sur le droit applicable entre la fin de l'instruction et l'application du droit étranger. D'après le même arrêt, dans les causes patrimoniales, lorsque le juge renonce à la collaboration des parties et applique le droit étranger déterminé selon les règles de la LDIP, il ne serait pas davantage tenu, sur la BGE 124 I 49 S. 54 base de l' art. 4 Cst. , d'entendre les parties après la fin de ses recherches sur le contenu du droit étranger. A supposer que cette manière de voir soit fondée - ce qui n'est pas forcément le cas, comme on l'a indiqué plus haut, lorsque le juge s'appuie sur des arguments juridiques inconnus des parties et dont celles-ci ne pouvaient prévoir l'adoption (cf. FRANK/STRÄULI/MESSMER, op.cit., n. 15 ad § 56 et n. 16a ad § 57) -, elle ne pourrait concerner que les cas où le juge applique le droit étranger sur la base de données générales qui sont à sa disposition, comme il le fait lorsqu'il applique le droit suisse. Mais il est exclu qu'elle s'applique lorsque le juge fait appel à des avis de tiers, autorités, experts, ou instituts. Dans une telle hypothèse, comme on l'a vu et comme on doit le poser fermement, la possibilité doit être offerte aux parties de prendre connaissance du résultat des recherches du juge, afin qu'elles puissent faire valoir leurs observations à cet égard. e) Cela étant, il est manifeste, en l'occurrence, qu'en sollicitant un avis de droit de l'ISDC, dont elle n'a pas donné connaissance aux parties, et en se fondant entièrement sur ce document qui s'écartait des autres avis de droit produits par les parties, la cour cantonale a violé le droit d'être entendu de celles-ci, tel qu'il est garanti par l' art. 4 Cst. En raison de la nature formelle de ce droit, l'arrêt attaqué doit être annulé, sans qu'il y ait lieu d'examiner les griefs soulevés par le recourant quant au fond ( ATF 118 Ia 104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